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КИОТСКИЙ ПРОТОКОЛ – международное соглашение о сокращении выбросов парниковых газов в атмосферу для сдерживания глобального потепления, подписанное в 1997 в Киото (Япония).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Киотский протокол является одним из проявлений глобализации современной экономики, когда регулирование экономической деятельности перестает быть исключительной прерогативой национальных правительств и становится объектом межправительственных соглашений.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Необходимость борьбы с загрязнениями атмосферы. В 1980-е внимание мировой общественности привлекла проблема глобального потепления. Высказывались опасения, что загрязнение атмосферы и рост среднегодовых температур может привести к таянию полярных льдов, из-за чего повысится уровень мирового океана и будут затоплены многие густозаселенные прибрежные территории.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Это потепление связывают с результатами человеческой деятельности – с ростом выбросов в атмосферу планеты так называемых парниковых газов, углекислого газа (СО</w:t>
      </w:r>
      <w:proofErr w:type="gramStart"/>
      <w:r w:rsidRPr="00664BC1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64BC1">
        <w:rPr>
          <w:rFonts w:ascii="Times New Roman" w:hAnsi="Times New Roman" w:cs="Times New Roman"/>
          <w:sz w:val="24"/>
          <w:szCs w:val="24"/>
        </w:rPr>
        <w:t>) и метана. Эти газы поглощают инфракрасные (тепловые) лучи, которые излучает нагретая поверхность планеты, и тем самым препятствуют ее охлаждению, что приводит к увеличению температуры воздуха.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Основную роль в формировании тепловой ловушки в верхних слоях атмосферы играет углекислый газ. Тепловые станции, транспорт и городское хозяйство производят примерно 1/3 всего углекислого газа, выбрасываемого в атмосферу Земли. Леса планеты частично поглощают углекислый газ. Однако количество выбрасываемого в атмосферу углекислого газа в результате роста объемов потребления сжигаемого топлива так велико, что «зеленые легкие планеты» уже не могут полностью переработать его. Подавляющая доля выбросов приходится на развитые страны Северной Америки и Европы, стремительно индустриализирующиеся развивающиеся страны Дальнего Востока.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Считается, что возможную глобальную катастрофу можно предотвратить двумя методами снижения выбросов парниковых газов: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1) изменение структуры топливного баланса стран мира путем перехода к менее «грязным» технологиям (переход от сжигания угля к сжиганию газа, использование АЭС и ГЭС, ветровой энергии и др.),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2) широкое внедрение энергосберегающих технологий и очистных сооружений.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Оба эти пути снижения вредных выбросов отличаются высокими издержками. Главная проблема заключается в том, что рынок сам по себе не может решить эту проблему. Ведь выгоды от уменьшения загрязнений получает все общество, в то время как издержки от реорганизации производства должны нести отдельные предприниматели. Поэтому в условиях «чистого» рынка предпринимателю не выгодно бороться с загрязнениями, поскольку ему это принесет лишь убытки. Следовательно, необходимы меры государственного и международного регулирования. Поскольку воздушное пространство едино для всей планеты, то в борьбе с атмосферными загрязнениями основную роль отводят международным соглашением в рамках Киотского протокола.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lastRenderedPageBreak/>
        <w:t>Киотского протокола призван создать общемировой рынок прав на загрязнение воздуха парниковыми газами.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Основные положения Киотского протокола: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1. определение допустимого объема выбросов парниковых газов в 2008–2012 для всех участвующих в этом соглашении промышленно развитых стран-участниц (для Российской Федерации установлен потолок выбросов на уровне базового 1990 – 3050 млн. тонн СО2-эквивалента);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2. разработка механизмов корректировки квот для отдельных стран – «механизмы гибкости» (международная торговля квотами, реализация совместных проектов по внедрению технологий, обеспечивающих сокращение выбросов, и т.д.)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3. разработка механизмов контроля над уровнями выбросов (необходимость создавать национальные системы оценки антропогенных выбросов и их абсорбции, мониторинга за выбросами и стоками)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ВНУТРЕННЕЕ РАСПРЕДЕЛЕНИЕ ОБЯЗАТЕЛЬСТВ по размерам выбросов между странами ЕС: избыток</w:t>
      </w:r>
      <w:proofErr w:type="gramStart"/>
      <w:r w:rsidRPr="00664BC1">
        <w:rPr>
          <w:rFonts w:ascii="Times New Roman" w:hAnsi="Times New Roman" w:cs="Times New Roman"/>
          <w:sz w:val="24"/>
          <w:szCs w:val="24"/>
        </w:rPr>
        <w:t xml:space="preserve"> (+) </w:t>
      </w:r>
      <w:proofErr w:type="gramEnd"/>
      <w:r w:rsidRPr="00664BC1">
        <w:rPr>
          <w:rFonts w:ascii="Times New Roman" w:hAnsi="Times New Roman" w:cs="Times New Roman"/>
          <w:sz w:val="24"/>
          <w:szCs w:val="24"/>
        </w:rPr>
        <w:t>или недостаток (–) квот на выбросы в сравнении с реальными выбросами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Австрия</w:t>
      </w:r>
      <w:r w:rsidRPr="00664BC1">
        <w:rPr>
          <w:rFonts w:ascii="Times New Roman" w:hAnsi="Times New Roman" w:cs="Times New Roman"/>
          <w:sz w:val="24"/>
          <w:szCs w:val="24"/>
        </w:rPr>
        <w:tab/>
        <w:t>–13%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                   Испания</w:t>
      </w:r>
      <w:r w:rsidRPr="00664BC1">
        <w:rPr>
          <w:rFonts w:ascii="Times New Roman" w:hAnsi="Times New Roman" w:cs="Times New Roman"/>
          <w:sz w:val="24"/>
          <w:szCs w:val="24"/>
        </w:rPr>
        <w:tab/>
        <w:t>+15%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Бельгия</w:t>
      </w:r>
      <w:r w:rsidRPr="00664BC1">
        <w:rPr>
          <w:rFonts w:ascii="Times New Roman" w:hAnsi="Times New Roman" w:cs="Times New Roman"/>
          <w:sz w:val="24"/>
          <w:szCs w:val="24"/>
        </w:rPr>
        <w:tab/>
        <w:t>–7,5%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                   Люксембург</w:t>
      </w:r>
      <w:r w:rsidRPr="00664BC1">
        <w:rPr>
          <w:rFonts w:ascii="Times New Roman" w:hAnsi="Times New Roman" w:cs="Times New Roman"/>
          <w:sz w:val="24"/>
          <w:szCs w:val="24"/>
        </w:rPr>
        <w:tab/>
        <w:t>–28%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Великобритания</w:t>
      </w:r>
      <w:r w:rsidRPr="00664BC1">
        <w:rPr>
          <w:rFonts w:ascii="Times New Roman" w:hAnsi="Times New Roman" w:cs="Times New Roman"/>
          <w:sz w:val="24"/>
          <w:szCs w:val="24"/>
        </w:rPr>
        <w:tab/>
        <w:t>–12,5%        Нидерланды</w:t>
      </w:r>
      <w:r w:rsidRPr="00664BC1">
        <w:rPr>
          <w:rFonts w:ascii="Times New Roman" w:hAnsi="Times New Roman" w:cs="Times New Roman"/>
          <w:sz w:val="24"/>
          <w:szCs w:val="24"/>
        </w:rPr>
        <w:tab/>
        <w:t>–6%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Германия</w:t>
      </w:r>
      <w:r w:rsidRPr="00664BC1">
        <w:rPr>
          <w:rFonts w:ascii="Times New Roman" w:hAnsi="Times New Roman" w:cs="Times New Roman"/>
          <w:sz w:val="24"/>
          <w:szCs w:val="24"/>
        </w:rPr>
        <w:tab/>
        <w:t>–21%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                   Португалия</w:t>
      </w:r>
      <w:r w:rsidRPr="00664BC1">
        <w:rPr>
          <w:rFonts w:ascii="Times New Roman" w:hAnsi="Times New Roman" w:cs="Times New Roman"/>
          <w:sz w:val="24"/>
          <w:szCs w:val="24"/>
        </w:rPr>
        <w:tab/>
        <w:t>+27%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Греция</w:t>
      </w:r>
      <w:r w:rsidRPr="00664BC1">
        <w:rPr>
          <w:rFonts w:ascii="Times New Roman" w:hAnsi="Times New Roman" w:cs="Times New Roman"/>
          <w:sz w:val="24"/>
          <w:szCs w:val="24"/>
        </w:rPr>
        <w:tab/>
        <w:t>+25%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                   Финляндия</w:t>
      </w:r>
      <w:r w:rsidRPr="00664BC1">
        <w:rPr>
          <w:rFonts w:ascii="Times New Roman" w:hAnsi="Times New Roman" w:cs="Times New Roman"/>
          <w:sz w:val="24"/>
          <w:szCs w:val="24"/>
        </w:rPr>
        <w:tab/>
        <w:t>0%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Дания</w:t>
      </w:r>
      <w:r w:rsidRPr="00664BC1">
        <w:rPr>
          <w:rFonts w:ascii="Times New Roman" w:hAnsi="Times New Roman" w:cs="Times New Roman"/>
          <w:sz w:val="24"/>
          <w:szCs w:val="24"/>
        </w:rPr>
        <w:tab/>
        <w:t>-21%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                               Франция</w:t>
      </w:r>
      <w:r w:rsidRPr="00664BC1">
        <w:rPr>
          <w:rFonts w:ascii="Times New Roman" w:hAnsi="Times New Roman" w:cs="Times New Roman"/>
          <w:sz w:val="24"/>
          <w:szCs w:val="24"/>
        </w:rPr>
        <w:tab/>
        <w:t>0%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Ирландия</w:t>
      </w:r>
      <w:r w:rsidRPr="00664BC1">
        <w:rPr>
          <w:rFonts w:ascii="Times New Roman" w:hAnsi="Times New Roman" w:cs="Times New Roman"/>
          <w:sz w:val="24"/>
          <w:szCs w:val="24"/>
        </w:rPr>
        <w:tab/>
        <w:t>+13%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                    Швеция</w:t>
      </w:r>
      <w:r w:rsidRPr="00664BC1">
        <w:rPr>
          <w:rFonts w:ascii="Times New Roman" w:hAnsi="Times New Roman" w:cs="Times New Roman"/>
          <w:sz w:val="24"/>
          <w:szCs w:val="24"/>
        </w:rPr>
        <w:tab/>
        <w:t>+4%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Италия</w:t>
      </w:r>
      <w:r w:rsidRPr="00664BC1">
        <w:rPr>
          <w:rFonts w:ascii="Times New Roman" w:hAnsi="Times New Roman" w:cs="Times New Roman"/>
          <w:sz w:val="24"/>
          <w:szCs w:val="24"/>
        </w:rPr>
        <w:tab/>
        <w:t>–6,5%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664BC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664BC1" w:rsidRPr="00664BC1" w:rsidRDefault="00664BC1" w:rsidP="00664BC1">
      <w:pPr>
        <w:rPr>
          <w:rFonts w:ascii="Times New Roman" w:hAnsi="Times New Roman" w:cs="Times New Roman"/>
          <w:sz w:val="24"/>
          <w:szCs w:val="24"/>
        </w:rPr>
      </w:pPr>
      <w:r w:rsidRPr="00664BC1">
        <w:rPr>
          <w:rFonts w:ascii="Times New Roman" w:hAnsi="Times New Roman" w:cs="Times New Roman"/>
          <w:sz w:val="24"/>
          <w:szCs w:val="24"/>
        </w:rPr>
        <w:t>В целом все страны ЕС снизят выбросы на 8%</w:t>
      </w:r>
      <w:bookmarkStart w:id="0" w:name="_GoBack"/>
      <w:bookmarkEnd w:id="0"/>
    </w:p>
    <w:p w:rsidR="00E05B5D" w:rsidRPr="00664BC1" w:rsidRDefault="00664BC1" w:rsidP="00664BC1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664BC1">
        <w:rPr>
          <w:rFonts w:ascii="Times New Roman" w:hAnsi="Times New Roman" w:cs="Times New Roman"/>
          <w:color w:val="FF0000"/>
          <w:sz w:val="24"/>
          <w:szCs w:val="24"/>
        </w:rPr>
        <w:t>Источник: Кокорин А.О. Киотский протокол – права и обязанности России. – Наука и промышленность. 2002, № 2</w:t>
      </w:r>
    </w:p>
    <w:sectPr w:rsidR="00E05B5D" w:rsidRPr="00664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C1"/>
    <w:rsid w:val="00523AD0"/>
    <w:rsid w:val="00531164"/>
    <w:rsid w:val="00664BC1"/>
    <w:rsid w:val="00775EF8"/>
    <w:rsid w:val="00E0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3682</Characters>
  <Application>Microsoft Office Word</Application>
  <DocSecurity>0</DocSecurity>
  <Lines>30</Lines>
  <Paragraphs>8</Paragraphs>
  <ScaleCrop>false</ScaleCrop>
  <Company>SPecialiST RePack</Company>
  <LinksUpToDate>false</LinksUpToDate>
  <CharactersWithSpaces>4319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2017-02-06T06:11:00Z</dcterms:created>
  <dcterms:modified xsi:type="dcterms:W3CDTF">2017-02-06T06:12:00Z</dcterms:modified>
</cp:coreProperties>
</file>